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2A31C4" w:rsidTr="002A31C4">
        <w:trPr>
          <w:trHeight w:val="540"/>
          <w:tblCellSpacing w:w="0" w:type="dxa"/>
          <w:jc w:val="center"/>
        </w:trPr>
        <w:tc>
          <w:tcPr>
            <w:tcW w:w="9765" w:type="dxa"/>
            <w:shd w:val="clear" w:color="auto" w:fill="FFFFFF"/>
            <w:hideMark/>
          </w:tcPr>
          <w:tbl>
            <w:tblPr>
              <w:tblW w:w="91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2A31C4">
              <w:trPr>
                <w:trHeight w:val="150"/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0000A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2A31C4">
                    <w:trPr>
                      <w:tblCellSpacing w:w="0" w:type="dxa"/>
                    </w:trPr>
                    <w:tc>
                      <w:tcPr>
                        <w:tcW w:w="3800" w:type="pct"/>
                        <w:shd w:val="clear" w:color="auto" w:fill="0000A0"/>
                        <w:vAlign w:val="center"/>
                        <w:hideMark/>
                      </w:tcPr>
                      <w:p w:rsidR="002A31C4" w:rsidRDefault="002A31C4">
                        <w:pPr>
                          <w:spacing w:after="200"/>
                          <w:jc w:val="center"/>
                        </w:pPr>
                        <w:r>
                          <w:rPr>
                            <w:rStyle w:val="Strong"/>
                            <w:rFonts w:ascii="Calibri" w:hAnsi="Calibri" w:cs="Calibri"/>
                            <w:color w:val="FFFF00"/>
                            <w:sz w:val="72"/>
                            <w:szCs w:val="72"/>
                            <w:lang w:eastAsia="en-MY"/>
                          </w:rPr>
                          <w:t>The Perfect Manager</w:t>
                        </w:r>
                        <w:r>
                          <w:rPr>
                            <w:rFonts w:ascii="Calibri" w:hAnsi="Calibri" w:cs="Calibri"/>
                            <w:color w:val="FFFF00"/>
                            <w:sz w:val="48"/>
                            <w:szCs w:val="48"/>
                            <w:lang w:eastAsia="en-MY"/>
                          </w:rPr>
                          <w:t> </w:t>
                        </w:r>
                        <w:r>
                          <w:rPr>
                            <w:rFonts w:ascii="Calibri" w:hAnsi="Calibri" w:cs="Calibri"/>
                            <w:color w:val="FFFF00"/>
                            <w:sz w:val="48"/>
                            <w:szCs w:val="48"/>
                            <w:lang w:eastAsia="en-MY"/>
                          </w:rPr>
                          <w:br/>
                        </w:r>
                        <w:r>
                          <w:rPr>
                            <w:rFonts w:ascii="Calibri" w:hAnsi="Calibri" w:cs="Calibri"/>
                            <w:color w:val="FFFFFF"/>
                            <w:sz w:val="48"/>
                            <w:szCs w:val="48"/>
                            <w:lang w:eastAsia="en-MY"/>
                          </w:rPr>
                          <w:t>8 Mandatory Competencies for Excellent Leadership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eastAsia="en-MY"/>
                          </w:rPr>
                          <w:br/>
                        </w:r>
                        <w:r>
                          <w:rPr>
                            <w:rFonts w:ascii="Calibri" w:hAnsi="Calibri" w:cs="Calibri"/>
                            <w:color w:val="FFFFFF"/>
                          </w:rPr>
                          <w:t xml:space="preserve">17 &amp; 18 October 2012 @ Armada Hotel,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FFFFFF"/>
                          </w:rPr>
                          <w:t>Petaling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FFFFFF"/>
                          </w:rPr>
                          <w:t xml:space="preserve"> Jaya</w:t>
                        </w:r>
                      </w:p>
                    </w:tc>
                  </w:tr>
                </w:tbl>
                <w:p w:rsidR="002A31C4" w:rsidRDefault="002A31C4">
                  <w:pPr>
                    <w:pStyle w:val="NormalWeb"/>
                    <w:spacing w:line="150" w:lineRule="atLeast"/>
                    <w:jc w:val="center"/>
                  </w:pPr>
                  <w:r>
                    <w:rPr>
                      <w:rStyle w:val="Strong"/>
                      <w:rFonts w:ascii="Arial" w:hAnsi="Arial" w:cs="Arial"/>
                      <w:color w:val="0000FF"/>
                      <w:sz w:val="27"/>
                      <w:szCs w:val="27"/>
                    </w:rPr>
                    <w:t>Enquire Us - Reserve Your Seat - Enroll Now!</w:t>
                  </w:r>
                </w:p>
              </w:tc>
            </w:tr>
          </w:tbl>
          <w:p w:rsidR="002A31C4" w:rsidRDefault="002A31C4">
            <w:r>
              <w:rPr>
                <w:rFonts w:ascii="Arial" w:hAnsi="Arial" w:cs="Arial"/>
              </w:rPr>
              <w:t>                              </w:t>
            </w:r>
            <w:r>
              <w:rPr>
                <w:rFonts w:ascii="Arial" w:hAnsi="Arial" w:cs="Arial"/>
                <w:color w:val="800000"/>
              </w:rPr>
              <w:t xml:space="preserve">                            </w:t>
            </w:r>
          </w:p>
        </w:tc>
      </w:tr>
      <w:tr w:rsidR="002A31C4" w:rsidTr="002A31C4">
        <w:trPr>
          <w:trHeight w:val="2085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top w:val="outset" w:sz="8" w:space="0" w:color="FFFFFF"/>
                <w:left w:val="outset" w:sz="8" w:space="0" w:color="FFFFFF"/>
                <w:bottom w:val="outset" w:sz="8" w:space="0" w:color="FFFFFF"/>
                <w:right w:val="outset" w:sz="8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60"/>
            </w:tblGrid>
            <w:tr w:rsidR="002A31C4">
              <w:trPr>
                <w:trHeight w:val="2070"/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FFFFFF"/>
                    <w:left w:val="outset" w:sz="8" w:space="0" w:color="FFFFFF"/>
                    <w:bottom w:val="outset" w:sz="8" w:space="0" w:color="FFFFFF"/>
                    <w:right w:val="outset" w:sz="8" w:space="0" w:color="FFFFFF"/>
                  </w:tcBorders>
                  <w:shd w:val="clear" w:color="auto" w:fill="EEEEEE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20"/>
                  </w:tblGrid>
                  <w:tr w:rsidR="002A31C4">
                    <w:trPr>
                      <w:tblCellSpacing w:w="0" w:type="dxa"/>
                    </w:trPr>
                    <w:tc>
                      <w:tcPr>
                        <w:tcW w:w="0" w:type="auto"/>
                      </w:tcPr>
                      <w:p w:rsidR="002A31C4" w:rsidRDefault="002A31C4">
                        <w:pPr>
                          <w:spacing w:after="240"/>
                          <w:jc w:val="both"/>
                          <w:rPr>
                            <w:color w:val="231F20"/>
                          </w:rPr>
                        </w:pPr>
                        <w:bookmarkStart w:id="0" w:name="_GoBack"/>
                        <w:r>
                          <w:rPr>
                            <w:color w:val="231F20"/>
                          </w:rPr>
                          <w:t xml:space="preserve">Many of the mentioned adversities came, triggered problems, contributed to a competitive business environment, interrupted business growth, displaced individual careers and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organisational</w:t>
                        </w:r>
                        <w:proofErr w:type="spellEnd"/>
                        <w:r>
                          <w:rPr>
                            <w:color w:val="231F20"/>
                          </w:rPr>
                          <w:t xml:space="preserve"> objectives, disrupted happy families and went away. However, problems tend to return and cause further damages and are sometimes uncontrollable, for example, the currently escalating oil prices.</w:t>
                        </w:r>
                        <w:r>
                          <w:rPr>
                            <w:color w:val="231F20"/>
                          </w:rPr>
                          <w:br/>
                        </w:r>
                      </w:p>
                      <w:p w:rsidR="002A31C4" w:rsidRDefault="002A31C4">
                        <w:pPr>
                          <w:jc w:val="both"/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 xml:space="preserve">Capable leaders have always been important but never more important than in today’s hypercompetitive business climate. With an increasing number of new businesses emerging and with the effects of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globalisation</w:t>
                        </w:r>
                        <w:proofErr w:type="spellEnd"/>
                        <w:r>
                          <w:rPr>
                            <w:color w:val="231F20"/>
                          </w:rPr>
                          <w:t xml:space="preserve">, it is crucial for managers, leaders and individuals to acquire the multi-trade skills and the eight (8) mandatory soft skills to improve performance, without which an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organisation</w:t>
                        </w:r>
                        <w:proofErr w:type="spellEnd"/>
                        <w:r>
                          <w:rPr>
                            <w:color w:val="231F20"/>
                          </w:rPr>
                          <w:t xml:space="preserve"> or individual will be left behind their competitors. </w:t>
                        </w:r>
                      </w:p>
                      <w:bookmarkEnd w:id="0"/>
                      <w:p w:rsidR="002A31C4" w:rsidRDefault="002A31C4">
                        <w:pPr>
                          <w:jc w:val="both"/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br/>
                        </w:r>
                        <w:r>
                          <w:rPr>
                            <w:b/>
                            <w:bCs/>
                            <w:color w:val="000000"/>
                            <w:u w:val="single"/>
                          </w:rPr>
                          <w:t>Workshop Objective</w:t>
                        </w:r>
                      </w:p>
                      <w:p w:rsidR="002A31C4" w:rsidRDefault="002A31C4" w:rsidP="007B36E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The art, skills and knowledge of the eight competencies for a perfect manager/leader </w:t>
                        </w:r>
                      </w:p>
                      <w:p w:rsidR="002A31C4" w:rsidRDefault="002A31C4" w:rsidP="007B36E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The application of effective contemporary management practices </w:t>
                        </w:r>
                      </w:p>
                      <w:p w:rsidR="002A31C4" w:rsidRDefault="002A31C4" w:rsidP="007B36E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Techniques to enhance managerial skills in handling immediate, short  and long tasks  </w:t>
                        </w:r>
                      </w:p>
                      <w:p w:rsidR="002A31C4" w:rsidRDefault="002A31C4" w:rsidP="007B36E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To prepare to meet realistic goals and objectives; to out-think and out-flank competition</w:t>
                        </w:r>
                      </w:p>
                      <w:p w:rsidR="002A31C4" w:rsidRDefault="002A31C4" w:rsidP="007B36E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How to solve everyday predicament and crisis that managers face </w:t>
                        </w:r>
                      </w:p>
                      <w:p w:rsidR="002A31C4" w:rsidRDefault="002A31C4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u w:val="single"/>
                          </w:rPr>
                          <w:t>Who Should Attend?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000000"/>
                          </w:rPr>
                          <w:t>CEOs, Managers, Department heads, Executives, Supervisors, Promotion candidates, Aspiring Leaders, Entrepreneurs and all those who want to excel in the 21st century business environment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 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rStyle w:val="Strong"/>
                            <w:color w:val="000000"/>
                            <w:u w:val="single"/>
                          </w:rPr>
                          <w:t>Course Outline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</w:p>
                      <w:p w:rsidR="002A31C4" w:rsidRDefault="002A31C4">
                        <w:pPr>
                          <w:rPr>
                            <w:b/>
                            <w:bCs/>
                            <w:color w:val="231F20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</w:rPr>
                          <w:t>Challenges Faced by Human Resources in the Global Economy Today</w:t>
                        </w:r>
                      </w:p>
                      <w:p w:rsidR="002A31C4" w:rsidRDefault="002A31C4">
                        <w:pPr>
                          <w:rPr>
                            <w:b/>
                            <w:bCs/>
                            <w:color w:val="231F20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</w:rPr>
                          <w:t>Change Management – Practicable Techniques to Manage Change for</w:t>
                        </w:r>
                      </w:p>
                      <w:p w:rsidR="002A31C4" w:rsidRDefault="002A31C4">
                        <w:pPr>
                          <w:rPr>
                            <w:b/>
                            <w:bCs/>
                            <w:color w:val="231F20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</w:rPr>
                          <w:t>Individuals/Change Leaders/</w:t>
                        </w:r>
                        <w:proofErr w:type="spellStart"/>
                        <w:r>
                          <w:rPr>
                            <w:b/>
                            <w:bCs/>
                            <w:color w:val="231F20"/>
                          </w:rPr>
                          <w:t>Organisation</w:t>
                        </w:r>
                        <w:proofErr w:type="spellEnd"/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lastRenderedPageBreak/>
                          <w:t xml:space="preserve">2.1 How to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organise</w:t>
                        </w:r>
                        <w:proofErr w:type="spellEnd"/>
                        <w:r>
                          <w:rPr>
                            <w:color w:val="231F20"/>
                          </w:rPr>
                          <w:t xml:space="preserve"> and implement change? – “Preset Success to Fight AIDS” model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2.2 Understand past practices, manage the present and control the future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2.3 Can humans change?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2.4 Why do people resist change?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2.5 When is change most acceptable?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</w:p>
                      <w:p w:rsidR="002A31C4" w:rsidRDefault="002A31C4">
                        <w:pPr>
                          <w:rPr>
                            <w:b/>
                            <w:bCs/>
                            <w:color w:val="231F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231F20"/>
                          </w:rPr>
                          <w:t>Organising</w:t>
                        </w:r>
                        <w:proofErr w:type="spellEnd"/>
                        <w:r>
                          <w:rPr>
                            <w:b/>
                            <w:bCs/>
                            <w:color w:val="231F20"/>
                          </w:rPr>
                          <w:t>, Planning, Delegating Decision Making and Evaluating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</w:p>
                      <w:p w:rsidR="002A31C4" w:rsidRDefault="002A31C4">
                        <w:pPr>
                          <w:rPr>
                            <w:b/>
                            <w:bCs/>
                            <w:color w:val="231F20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</w:rPr>
                          <w:t>Motivation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4.1 The eight rules in motivating people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4.2 Maslow’s hierarchy of needs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4.3 The seven key indicators of highly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motivated people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</w:p>
                      <w:p w:rsidR="002A31C4" w:rsidRDefault="002A31C4">
                        <w:pPr>
                          <w:rPr>
                            <w:b/>
                            <w:bCs/>
                            <w:color w:val="231F20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</w:rPr>
                          <w:t>Presentation and Communication Skills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5.1 Unable to build the bridge across?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5.2 Communication and presentation checklists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5.3 Why are presentation and communication skills the mandatory pathway for leaders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5.4 Why is internal marketing important for leaders?</w:t>
                        </w:r>
                      </w:p>
                      <w:p w:rsidR="002A31C4" w:rsidRDefault="002A31C4">
                        <w:pPr>
                          <w:rPr>
                            <w:b/>
                            <w:bCs/>
                            <w:color w:val="231F20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</w:rPr>
                          <w:t>Leadership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6.1 Definition of leadership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6.2 Are management and leadership the same?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6.3 The seven essential qualities of a leader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6.4 The “BLADE” leadership style for leaders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6.5 The “IGP” leadership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6.6 Leadership recognition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</w:p>
                      <w:p w:rsidR="002A31C4" w:rsidRDefault="002A31C4">
                        <w:pPr>
                          <w:rPr>
                            <w:b/>
                            <w:bCs/>
                            <w:color w:val="231F20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</w:rPr>
                          <w:t>Education and Knowledge Management (EKM)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7.1 Is “EKM” important for change management?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7.2 How to manage “EKM” to your advantage?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7.3 Do not neglect lifelong learning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7.4 What are the challenges for human resources in the 21st century?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</w:p>
                      <w:p w:rsidR="002A31C4" w:rsidRDefault="002A31C4">
                        <w:pPr>
                          <w:rPr>
                            <w:b/>
                            <w:bCs/>
                            <w:color w:val="231F20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</w:rPr>
                          <w:t>How to Build an Impeccable Team?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8.1 The “IGP” Principles and Roles of Managing Teams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8.2 Team objectives, quality, and values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8.3 Roles and functions of a team leader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8.4 How to use “KNIFE U” to get the best from your team?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</w:p>
                      <w:p w:rsidR="002A31C4" w:rsidRDefault="002A31C4">
                        <w:pPr>
                          <w:rPr>
                            <w:b/>
                            <w:bCs/>
                            <w:color w:val="231F20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</w:rPr>
                          <w:t>Errors to Avoid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9.1 What are the common mistakes that lead to failures?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9.2 What are the costly errors that you must avoid?</w:t>
                        </w:r>
                      </w:p>
                      <w:p w:rsidR="002A31C4" w:rsidRDefault="002A31C4">
                        <w:pPr>
                          <w:spacing w:after="240"/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9.3 Share the laughable mistakes that you have encountered</w:t>
                        </w:r>
                      </w:p>
                      <w:p w:rsidR="002A31C4" w:rsidRDefault="002A31C4">
                        <w:pPr>
                          <w:rPr>
                            <w:color w:val="231F20"/>
                          </w:rPr>
                        </w:pPr>
                      </w:p>
                      <w:p w:rsidR="002A31C4" w:rsidRDefault="002A31C4">
                        <w:pPr>
                          <w:spacing w:after="200" w:line="270" w:lineRule="atLeast"/>
                          <w:jc w:val="center"/>
                        </w:pPr>
                        <w:r>
                          <w:rPr>
                            <w:rStyle w:val="Strong"/>
                            <w:rFonts w:ascii="Arial" w:hAnsi="Arial" w:cs="Arial"/>
                            <w:color w:val="0000FF"/>
                            <w:sz w:val="36"/>
                            <w:szCs w:val="36"/>
                            <w:lang w:val="en-MY"/>
                          </w:rPr>
                          <w:lastRenderedPageBreak/>
                          <w:t>Get Special Rebate on Group Registration</w:t>
                        </w:r>
                      </w:p>
                      <w:tbl>
                        <w:tblPr>
                          <w:tblW w:w="8955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8"/>
                          <w:gridCol w:w="7433"/>
                          <w:gridCol w:w="714"/>
                        </w:tblGrid>
                        <w:tr w:rsidR="002A31C4">
                          <w:trPr>
                            <w:trHeight w:val="465"/>
                            <w:jc w:val="center"/>
                          </w:trPr>
                          <w:tc>
                            <w:tcPr>
                              <w:tcW w:w="7060" w:type="dxa"/>
                              <w:gridSpan w:val="3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000000"/>
                              </w:tcBorders>
                              <w:shd w:val="clear" w:color="auto" w:fill="5A5A5A"/>
                              <w:vAlign w:val="center"/>
                              <w:hideMark/>
                            </w:tcPr>
                            <w:p w:rsidR="002A31C4" w:rsidRDefault="002A31C4">
                              <w:pPr>
                                <w:pStyle w:val="NormalWeb"/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36"/>
                                  <w:szCs w:val="36"/>
                                </w:rPr>
                                <w:t>OCTOBER COURSE TRAINING</w:t>
                              </w:r>
                            </w:p>
                          </w:tc>
                        </w:tr>
                        <w:tr w:rsidR="002A31C4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5A5A5A"/>
                              <w:vAlign w:val="center"/>
                              <w:hideMark/>
                            </w:tcPr>
                            <w:p w:rsidR="002A31C4" w:rsidRDefault="002A31C4">
                              <w:r>
                                <w:rPr>
                                  <w:rFonts w:ascii="Arial" w:hAnsi="Arial" w:cs="Arial"/>
                                  <w:color w:val="FFFFFF"/>
                                </w:rPr>
                                <w:t>LW022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2A31C4" w:rsidRDefault="002A31C4">
                              <w:hyperlink r:id="rId6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0000"/>
                                  </w:rPr>
                                  <w:t>Effective Management and Conduct of Tender Meeting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2A31C4" w:rsidRDefault="002A31C4">
                              <w:r>
                                <w:rPr>
                                  <w:rFonts w:ascii="Arial" w:hAnsi="Arial" w:cs="Arial"/>
                                </w:rPr>
                                <w:t>1&amp;2</w:t>
                              </w:r>
                            </w:p>
                          </w:tc>
                        </w:tr>
                        <w:tr w:rsidR="002A31C4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5A5A5A"/>
                              <w:vAlign w:val="center"/>
                              <w:hideMark/>
                            </w:tcPr>
                            <w:p w:rsidR="002A31C4" w:rsidRDefault="002A31C4">
                              <w:r>
                                <w:rPr>
                                  <w:rFonts w:ascii="Arial" w:hAnsi="Arial" w:cs="Arial"/>
                                  <w:color w:val="FFFFFF"/>
                                </w:rPr>
                                <w:t>MG088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2A31C4" w:rsidRDefault="002A31C4">
                              <w:hyperlink r:id="rId7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0000"/>
                                  </w:rPr>
                                  <w:t xml:space="preserve">Quality Improvements using 7QC Tools 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2A31C4" w:rsidRDefault="002A31C4">
                              <w:r>
                                <w:rPr>
                                  <w:rFonts w:ascii="Arial" w:hAnsi="Arial" w:cs="Arial"/>
                                </w:rPr>
                                <w:t>3&amp;4</w:t>
                              </w:r>
                            </w:p>
                          </w:tc>
                        </w:tr>
                        <w:tr w:rsidR="002A31C4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5A5A5A"/>
                              <w:vAlign w:val="center"/>
                              <w:hideMark/>
                            </w:tcPr>
                            <w:p w:rsidR="002A31C4" w:rsidRDefault="002A31C4">
                              <w:r>
                                <w:rPr>
                                  <w:rFonts w:ascii="Arial" w:hAnsi="Arial" w:cs="Arial"/>
                                  <w:color w:val="FFFFFF"/>
                                </w:rPr>
                                <w:t>MG107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2A31C4" w:rsidRDefault="002A31C4">
                              <w:hyperlink r:id="rId8" w:history="1"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0000"/>
                                  </w:rPr>
                                  <w:t>Pengurusan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0000"/>
                                  </w:rPr>
                                  <w:t>Stor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0000"/>
                                  </w:rPr>
                                  <w:t xml:space="preserve"> &amp;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0000"/>
                                  </w:rPr>
                                  <w:t>Inventori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0000"/>
                                  </w:rPr>
                                  <w:t>Secara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0000"/>
                                  </w:rPr>
                                  <w:t>Berkesan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2A31C4" w:rsidRDefault="002A31C4">
                              <w:r>
                                <w:rPr>
                                  <w:rFonts w:ascii="Arial" w:hAnsi="Arial" w:cs="Arial"/>
                                </w:rPr>
                                <w:t>10&amp;11</w:t>
                              </w:r>
                            </w:p>
                          </w:tc>
                        </w:tr>
                        <w:tr w:rsidR="002A31C4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5A5A5A"/>
                              <w:vAlign w:val="center"/>
                              <w:hideMark/>
                            </w:tcPr>
                            <w:p w:rsidR="002A31C4" w:rsidRDefault="002A31C4">
                              <w:r>
                                <w:rPr>
                                  <w:rFonts w:ascii="Arial" w:hAnsi="Arial" w:cs="Arial"/>
                                  <w:color w:val="FFFFFF"/>
                                </w:rPr>
                                <w:t>MG257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2A31C4" w:rsidRDefault="002A31C4">
                              <w:hyperlink r:id="rId9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0000"/>
                                  </w:rPr>
                                  <w:t>Mindset Transformation for Managers &amp; Leaders using NLP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2A31C4" w:rsidRDefault="002A31C4">
                              <w:r>
                                <w:rPr>
                                  <w:rFonts w:ascii="Arial" w:hAnsi="Arial" w:cs="Arial"/>
                                </w:rPr>
                                <w:t>15&amp;16</w:t>
                              </w:r>
                            </w:p>
                          </w:tc>
                        </w:tr>
                        <w:tr w:rsidR="002A31C4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5A5A5A"/>
                              <w:vAlign w:val="center"/>
                              <w:hideMark/>
                            </w:tcPr>
                            <w:p w:rsidR="002A31C4" w:rsidRDefault="002A31C4">
                              <w:r>
                                <w:rPr>
                                  <w:rFonts w:ascii="Arial" w:hAnsi="Arial" w:cs="Arial"/>
                                  <w:color w:val="FFFFFF"/>
                                </w:rPr>
                                <w:t>LW023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2A31C4" w:rsidRDefault="002A31C4">
                              <w:hyperlink r:id="rId10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0000"/>
                                  </w:rPr>
                                  <w:t>Hazard Risk Management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2A31C4" w:rsidRDefault="002A31C4">
                              <w:r>
                                <w:rPr>
                                  <w:rFonts w:ascii="Arial" w:hAnsi="Arial" w:cs="Arial"/>
                                </w:rPr>
                                <w:t>15&amp;16</w:t>
                              </w:r>
                            </w:p>
                          </w:tc>
                        </w:tr>
                        <w:tr w:rsidR="002A31C4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5A5A5A"/>
                              <w:vAlign w:val="center"/>
                              <w:hideMark/>
                            </w:tcPr>
                            <w:p w:rsidR="002A31C4" w:rsidRDefault="002A31C4">
                              <w:r>
                                <w:rPr>
                                  <w:rFonts w:ascii="Arial" w:hAnsi="Arial" w:cs="Arial"/>
                                  <w:color w:val="FFFFFF"/>
                                </w:rPr>
                                <w:t>LW012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2A31C4" w:rsidRDefault="002A31C4">
                              <w:hyperlink r:id="rId11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0000"/>
                                  </w:rPr>
                                  <w:t>Licensed Manufacturing Warehouse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2A31C4" w:rsidRDefault="002A31C4">
                              <w:r>
                                <w:rPr>
                                  <w:rFonts w:ascii="Arial" w:hAnsi="Arial" w:cs="Arial"/>
                                </w:rPr>
                                <w:t>15&amp;16</w:t>
                              </w:r>
                            </w:p>
                          </w:tc>
                        </w:tr>
                        <w:tr w:rsidR="002A31C4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5A5A5A"/>
                              <w:vAlign w:val="center"/>
                              <w:hideMark/>
                            </w:tcPr>
                            <w:p w:rsidR="002A31C4" w:rsidRDefault="002A31C4">
                              <w:r>
                                <w:rPr>
                                  <w:rFonts w:ascii="Arial" w:hAnsi="Arial" w:cs="Arial"/>
                                  <w:color w:val="FFFFFF"/>
                                </w:rPr>
                                <w:t>LW027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2A31C4" w:rsidRDefault="002A31C4">
                              <w:hyperlink r:id="rId12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0000"/>
                                  </w:rPr>
                                  <w:t>Documentary Credit Operations, Trade Financing product and Structuring/ computing trade Financing Facilities requirement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2A31C4" w:rsidRDefault="002A31C4">
                              <w:r>
                                <w:rPr>
                                  <w:rFonts w:ascii="Arial" w:hAnsi="Arial" w:cs="Arial"/>
                                </w:rPr>
                                <w:t>17&amp;18</w:t>
                              </w:r>
                            </w:p>
                          </w:tc>
                        </w:tr>
                        <w:tr w:rsidR="002A31C4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5A5A5A"/>
                              <w:vAlign w:val="center"/>
                              <w:hideMark/>
                            </w:tcPr>
                            <w:p w:rsidR="002A31C4" w:rsidRDefault="002A31C4">
                              <w:r>
                                <w:rPr>
                                  <w:rFonts w:ascii="Arial" w:hAnsi="Arial" w:cs="Arial"/>
                                  <w:color w:val="FFFFFF"/>
                                </w:rPr>
                                <w:t>LW002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2A31C4" w:rsidRDefault="002A31C4">
                              <w:hyperlink r:id="rId13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0000"/>
                                  </w:rPr>
                                  <w:t xml:space="preserve">Effective Stock Control &amp; Warehouse Management 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2A31C4" w:rsidRDefault="002A31C4">
                              <w:r>
                                <w:rPr>
                                  <w:rFonts w:ascii="Arial" w:hAnsi="Arial" w:cs="Arial"/>
                                </w:rPr>
                                <w:t>22&amp;23</w:t>
                              </w:r>
                            </w:p>
                          </w:tc>
                        </w:tr>
                        <w:tr w:rsidR="002A31C4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5A5A5A"/>
                              <w:vAlign w:val="center"/>
                              <w:hideMark/>
                            </w:tcPr>
                            <w:p w:rsidR="002A31C4" w:rsidRDefault="002A31C4">
                              <w:r>
                                <w:rPr>
                                  <w:rFonts w:ascii="Arial" w:hAnsi="Arial" w:cs="Arial"/>
                                  <w:color w:val="FFFFFF"/>
                                </w:rPr>
                                <w:t>MG097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2A31C4" w:rsidRDefault="002A31C4">
                              <w:hyperlink r:id="rId14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0000"/>
                                  </w:rPr>
                                  <w:t>Root Cause Analysis &amp; Problem Solving Skills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2A31C4" w:rsidRDefault="002A31C4">
                              <w:r>
                                <w:rPr>
                                  <w:rFonts w:ascii="Arial" w:hAnsi="Arial" w:cs="Arial"/>
                                </w:rPr>
                                <w:t>30&amp;31</w:t>
                              </w:r>
                            </w:p>
                          </w:tc>
                        </w:tr>
                      </w:tbl>
                      <w:p w:rsidR="002A31C4" w:rsidRDefault="002A31C4">
                        <w:pPr>
                          <w:spacing w:before="100" w:beforeAutospacing="1"/>
                          <w:jc w:val="center"/>
                          <w:rPr>
                            <w:color w:val="000000"/>
                            <w:lang w:val="en-MY"/>
                          </w:rPr>
                        </w:pPr>
                        <w:hyperlink r:id="rId15" w:history="1">
                          <w:r>
                            <w:rPr>
                              <w:rStyle w:val="Hyperlink"/>
                              <w:b/>
                              <w:bCs/>
                              <w:sz w:val="36"/>
                              <w:szCs w:val="36"/>
                              <w:lang w:val="en-MY"/>
                            </w:rPr>
                            <w:t>Request Full Brochure - ENQUIRY NOW</w:t>
                          </w:r>
                        </w:hyperlink>
                      </w:p>
                    </w:tc>
                  </w:tr>
                </w:tbl>
                <w:p w:rsidR="002A31C4" w:rsidRDefault="002A31C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A31C4">
              <w:trPr>
                <w:trHeight w:val="1035"/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FFFFFF"/>
                    <w:left w:val="outset" w:sz="8" w:space="0" w:color="FFFFFF"/>
                    <w:bottom w:val="outset" w:sz="8" w:space="0" w:color="FFFFFF"/>
                    <w:right w:val="outset" w:sz="8" w:space="0" w:color="FFFFFF"/>
                  </w:tcBorders>
                  <w:shd w:val="clear" w:color="auto" w:fill="FFFFFF"/>
                  <w:vAlign w:val="center"/>
                </w:tcPr>
                <w:p w:rsidR="002A31C4" w:rsidRDefault="002A31C4">
                  <w:pPr>
                    <w:spacing w:before="240" w:after="200"/>
                    <w:jc w:val="center"/>
                    <w:rPr>
                      <w:color w:val="FF000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lastRenderedPageBreak/>
                    <w:t xml:space="preserve">Feel free to forward this invitation to your colleagues. 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br/>
                    <w:t>Have a pleasant day</w:t>
                  </w:r>
                </w:p>
                <w:p w:rsidR="002A31C4" w:rsidRDefault="002A31C4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</w:pPr>
                </w:p>
                <w:p w:rsidR="002A31C4" w:rsidRDefault="002A31C4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>
                    <w:rPr>
                      <w:rStyle w:val="Strong"/>
                      <w:rFonts w:ascii="Arial" w:hAnsi="Arial" w:cs="Arial"/>
                      <w:color w:val="0000FF"/>
                    </w:rPr>
                    <w:t xml:space="preserve">HOTLINE LOGISTICS SEGMENT </w:t>
                  </w:r>
                  <w:r>
                    <w:rPr>
                      <w:rFonts w:ascii="Arial" w:hAnsi="Arial" w:cs="Arial"/>
                      <w:b/>
                      <w:bCs/>
                      <w:color w:val="0000FF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0000FF"/>
                    </w:rPr>
                    <w:t>Taufek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0000FF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0000FF"/>
                    </w:rPr>
                    <w:t>Hadi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0000FF"/>
                    </w:rPr>
                    <w:t xml:space="preserve">: 012 - 744 1668 </w:t>
                  </w:r>
                  <w:r>
                    <w:rPr>
                      <w:rFonts w:ascii="Arial" w:hAnsi="Arial" w:cs="Arial"/>
                      <w:b/>
                      <w:bCs/>
                      <w:color w:val="0000FF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00FF"/>
                    </w:rPr>
                    <w:t xml:space="preserve">Email : </w:t>
                  </w:r>
                  <w:hyperlink r:id="rId16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taufek.hadi@comfori.com</w:t>
                    </w:r>
                  </w:hyperlink>
                  <w:r>
                    <w:rPr>
                      <w:rFonts w:ascii="Arial" w:hAnsi="Arial" w:cs="Arial"/>
                      <w:b/>
                      <w:bCs/>
                      <w:color w:val="0000FF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br/>
                    <w:t xml:space="preserve">If you do not wish to received our e-mail in future please reply to </w:t>
                  </w:r>
                  <w:hyperlink r:id="rId17" w:history="1">
                    <w:r>
                      <w:rPr>
                        <w:rStyle w:val="Hyperlink"/>
                        <w:rFonts w:ascii="Arial" w:hAnsi="Arial" w:cs="Arial"/>
                        <w:sz w:val="13"/>
                        <w:szCs w:val="13"/>
                      </w:rPr>
                      <w:t>remove@comfori.com</w:t>
                    </w:r>
                  </w:hyperlink>
                </w:p>
                <w:p w:rsidR="002A31C4" w:rsidRDefault="002A31C4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3"/>
                      <w:szCs w:val="13"/>
                    </w:rPr>
                    <w:t>COMFORI SDN BHD</w:t>
                  </w:r>
                  <w:r>
                    <w:rPr>
                      <w:rFonts w:ascii="Arial" w:hAnsi="Arial" w:cs="Arial"/>
                      <w:color w:val="FF0000"/>
                      <w:sz w:val="13"/>
                      <w:szCs w:val="13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 xml:space="preserve"> E-02-3, 3rd Floor, East Wing,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Subang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 xml:space="preserve"> Square Business Centre,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Jalan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 xml:space="preserve"> SS15/4G, 47500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Subang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 xml:space="preserve"> Jaya, Selangor.</w:t>
                  </w: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br/>
                    <w:t>t: 03-5621 3630     | f: 03-5638 8248 I e: </w:t>
                  </w:r>
                  <w:hyperlink r:id="rId18" w:history="1">
                    <w:r>
                      <w:rPr>
                        <w:rStyle w:val="Hyperlink"/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taufek.hadi@comfori.com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 xml:space="preserve"> | w: </w:t>
                  </w:r>
                  <w:hyperlink r:id="rId19" w:history="1">
                    <w:r>
                      <w:rPr>
                        <w:rStyle w:val="Hyperlink"/>
                        <w:rFonts w:ascii="Arial" w:hAnsi="Arial" w:cs="Arial"/>
                        <w:color w:val="000000"/>
                        <w:sz w:val="18"/>
                        <w:szCs w:val="18"/>
                      </w:rPr>
                      <w:t>www.comfori.com</w:t>
                    </w:r>
                  </w:hyperlink>
                </w:p>
              </w:tc>
            </w:tr>
          </w:tbl>
          <w:p w:rsidR="002A31C4" w:rsidRDefault="002A31C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E666D" w:rsidRDefault="002A31C4"/>
    <w:sectPr w:rsidR="005E6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9651D"/>
    <w:multiLevelType w:val="multilevel"/>
    <w:tmpl w:val="964A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11"/>
    <w:rsid w:val="00153E11"/>
    <w:rsid w:val="002A31C4"/>
    <w:rsid w:val="002B63FD"/>
    <w:rsid w:val="006C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1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31C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31C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A31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1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31C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31C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A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fori.com/images/stories/Website_Templates/MS/Logistic/October/MG107_-_PENGURUSAN_STOR__INVENTORI.pdf" TargetMode="External"/><Relationship Id="rId13" Type="http://schemas.openxmlformats.org/officeDocument/2006/relationships/hyperlink" Target="http://www.comfori.com/images/stories/Website_Templates/MS/Logistic/October/LW002_-_EFFECTIVE_STOCK_CONTROL__WAREHOUSE.pdf" TargetMode="External"/><Relationship Id="rId18" Type="http://schemas.openxmlformats.org/officeDocument/2006/relationships/hyperlink" Target="mailto:taufek.hadi@comfori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comfori.com/images/stories/Website_Templates/MS/Logistic/October/MG088-_Quality_Improvements_Using_7QC_Tools.pdf" TargetMode="External"/><Relationship Id="rId12" Type="http://schemas.openxmlformats.org/officeDocument/2006/relationships/hyperlink" Target="http://www.comfori.com/images/stories/Website_Templates/MS/Logistic/October/lw027_-_dOC_FINANCING_FACILITIES.pdf" TargetMode="External"/><Relationship Id="rId17" Type="http://schemas.openxmlformats.org/officeDocument/2006/relationships/hyperlink" Target="mailto:remove@comfori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aufek.hadi@comfori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mfori.com/images/stories/Website_Templates/MS/Logistic/October/LW022_-_TENDER_MEETING.pdf" TargetMode="External"/><Relationship Id="rId11" Type="http://schemas.openxmlformats.org/officeDocument/2006/relationships/hyperlink" Target="http://www.comfori.com/images/stories/Website_Templates/MS/Logistic/October/LW012_-_LMW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spreadsheet/viewform?formkey=dGhGLTVZY3otT2Yza2ZTbDQ2UElTeFE6MQ" TargetMode="External"/><Relationship Id="rId10" Type="http://schemas.openxmlformats.org/officeDocument/2006/relationships/hyperlink" Target="http://www.comfori.com/images/stories/Website_Templates/MS/Logistic/October/LW023_-_HAZARD.pdf" TargetMode="External"/><Relationship Id="rId19" Type="http://schemas.openxmlformats.org/officeDocument/2006/relationships/hyperlink" Target="http://www.comfor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fori.com/index.php?option=com_jevents&amp;task=cat.listevents&amp;offset=1&amp;category_fv=44&amp;Itemid=59" TargetMode="External"/><Relationship Id="rId14" Type="http://schemas.openxmlformats.org/officeDocument/2006/relationships/hyperlink" Target="http://www.comfori.com/images/stories/Website_Templates/MS/Logistic/October/MG097_-_Root_Cause_Analysis__Problem_Solving_Skill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2012-10-10T10:42:00Z</dcterms:created>
  <dcterms:modified xsi:type="dcterms:W3CDTF">2012-10-10T10:42:00Z</dcterms:modified>
</cp:coreProperties>
</file>